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КАЗАХСКИЙ НАЦИОНАЛЬНЫЙ УНИВЕРСИТЕТ ИМЕНИ АЛЬ-ФАРАБИ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Факультет медицины и здравоохранения </w:t>
      </w:r>
    </w:p>
    <w:p w:rsidR="00000000" w:rsidDel="00000000" w:rsidP="00000000" w:rsidRDefault="00000000" w:rsidRPr="00000000" w14:paraId="00000003">
      <w:pPr>
        <w:jc w:val="center"/>
        <w:rPr>
          <w:rFonts w:ascii="Times" w:cs="Times" w:eastAsia="Times" w:hAnsi="Times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Высш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ая школа медицины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Кафедра фундаментальной медицины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666" w:lineRule="auto"/>
        <w:rPr>
          <w:rFonts w:ascii="Times" w:cs="Times" w:eastAsia="Times" w:hAnsi="Times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8"/>
          <w:szCs w:val="28"/>
          <w:rtl w:val="0"/>
        </w:rPr>
        <w:t xml:space="preserve">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ПРОГРАММА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" w:cs="Times" w:eastAsia="Times" w:hAnsi="Times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выпускного экзамена по дисциплине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3" w:lineRule="auto"/>
        <w:ind w:right="878"/>
        <w:jc w:val="center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клеточная и молекулярная патобиология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«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Cell and molecular pathobiology» -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highlight w:val="whit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2353" w:hanging="2353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2353" w:firstLine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8" w:firstLine="0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highlight w:val="white"/>
          <w:rtl w:val="0"/>
        </w:rPr>
        <w:t xml:space="preserve">Утвержденная форма итогового экзамена - письменный экзамен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6" w:firstLine="0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319" w:lineRule="auto"/>
        <w:ind w:left="11" w:right="349" w:firstLine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Ожидаемые результаты: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Магистранты на выпускном экзамене должны: </w:t>
      </w:r>
    </w:p>
    <w:p w:rsidR="00000000" w:rsidDel="00000000" w:rsidP="00000000" w:rsidRDefault="00000000" w:rsidRPr="00000000" w14:paraId="0000000D">
      <w:pPr>
        <w:ind w:left="16" w:firstLine="0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02124"/>
          <w:sz w:val="28"/>
          <w:szCs w:val="28"/>
          <w:u w:val="none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shd w:fill="f8f9fa" w:val="clear"/>
          <w:rtl w:val="0"/>
        </w:rPr>
        <w:t xml:space="preserve">Продемонстрировать знание основных концепций общей клеточной и молекулярной биологии;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02124"/>
          <w:sz w:val="28"/>
          <w:szCs w:val="28"/>
          <w:u w:val="none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shd w:fill="f8f9fa" w:val="clear"/>
          <w:rtl w:val="0"/>
        </w:rPr>
        <w:t xml:space="preserve">Продемонстрировать знание патологических процессов в клеточной молекулярной биологии болезней человека. Общие принципы построения биомедицинских экспериментов.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02124"/>
          <w:sz w:val="28"/>
          <w:szCs w:val="28"/>
          <w:u w:val="none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shd w:fill="f8f9fa" w:val="clear"/>
          <w:rtl w:val="0"/>
        </w:rPr>
        <w:t xml:space="preserve">Продемонстрировать аналитические навыки в интеграции знаний по патобиологии при формировании суждений относительно общей молекулярной биологии.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line="308.5714285714286" w:lineRule="auto"/>
        <w:ind w:left="720" w:hanging="360"/>
        <w:rPr>
          <w:rFonts w:ascii="Times New Roman" w:cs="Times New Roman" w:eastAsia="Times New Roman" w:hAnsi="Times New Roman"/>
          <w:color w:val="202124"/>
          <w:sz w:val="28"/>
          <w:szCs w:val="28"/>
          <w:u w:val="none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shd w:fill="f8f9fa" w:val="clear"/>
          <w:rtl w:val="0"/>
        </w:rPr>
        <w:t xml:space="preserve">Интерпретировать результаты конкретных молекулярных методов диагностики.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line="308.5714285714286" w:lineRule="auto"/>
        <w:ind w:left="720" w:hanging="360"/>
        <w:rPr>
          <w:rFonts w:ascii="Times New Roman" w:cs="Times New Roman" w:eastAsia="Times New Roman" w:hAnsi="Times New Roman"/>
          <w:color w:val="202124"/>
          <w:sz w:val="28"/>
          <w:szCs w:val="28"/>
          <w:u w:val="none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shd w:fill="f8f9fa" w:val="clear"/>
          <w:rtl w:val="0"/>
        </w:rPr>
        <w:t xml:space="preserve">Эффективно общаться с другими студентами, исследователями и преподавателями относительно медицинской и научной информации,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="308.5714285714286" w:lineRule="auto"/>
        <w:ind w:left="720" w:hanging="360"/>
        <w:rPr>
          <w:rFonts w:ascii="Times New Roman" w:cs="Times New Roman" w:eastAsia="Times New Roman" w:hAnsi="Times New Roman"/>
          <w:color w:val="202124"/>
          <w:sz w:val="28"/>
          <w:szCs w:val="28"/>
          <w:u w:val="none"/>
          <w:shd w:fill="f8f9fa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shd w:fill="f8f9fa" w:val="clear"/>
          <w:rtl w:val="0"/>
        </w:rPr>
        <w:t xml:space="preserve">Четко формулировать их мнения при обсуждении клеточных и молекулярных патобиологических процессов и их воздействия, а также эффективно работать в качестве члена исследовательской группы.</w:t>
      </w:r>
    </w:p>
    <w:p w:rsidR="00000000" w:rsidDel="00000000" w:rsidP="00000000" w:rsidRDefault="00000000" w:rsidRPr="00000000" w14:paraId="00000014">
      <w:pPr>
        <w:ind w:left="1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16" w:firstLine="0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Темы, включенные в итоговый экзамен: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17" w:right="1925" w:firstLine="3.0000000000000004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1925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highlight w:val="white"/>
          <w:rtl w:val="0"/>
        </w:rPr>
        <w:t xml:space="preserve">Примерная типология экзаменационных заданий </w:t>
      </w:r>
    </w:p>
    <w:p w:rsidR="00000000" w:rsidDel="00000000" w:rsidP="00000000" w:rsidRDefault="00000000" w:rsidRPr="00000000" w14:paraId="00000018">
      <w:pPr>
        <w:ind w:right="419"/>
        <w:jc w:val="both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before="3" w:lineRule="auto"/>
        <w:ind w:left="720" w:hanging="360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DNA replication and repair mechanism.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before="3" w:lineRule="auto"/>
        <w:ind w:left="720" w:hanging="360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Transcription and translation of genetic information.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before="3" w:lineRule="auto"/>
        <w:ind w:left="720" w:hanging="360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Genetics. Gene expression. Transcription factors: regulation of translation.  Main intracellular signal transduction pathways.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before="3" w:lineRule="auto"/>
        <w:ind w:left="720" w:hanging="360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DNA damage and genetics of disease development.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before="3" w:lineRule="auto"/>
        <w:ind w:left="720" w:hanging="360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Cell cycle and DNA repair. DNA damage and mutation.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before="3" w:lineRule="auto"/>
        <w:ind w:left="720" w:hanging="360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Inflectional or viral agent responsible for disease occurrence and progression in human. Molecular mechanism.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Epigenetics, epigenetic regulation of gene expression. Mechanisms of epigenetic regulation: DNA methylation.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Human diseases linked with epigenetic. Example: molecular mechanism.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Epigenetic changes that responsible for human diseases. Example: molecular mechanism.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Cancer Genetics and Genomics, Cancer genetics and genomics, hereditary cancer syndromes and familial occurrence of cancer.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before="3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Modern diagnostic techniques in medicine. DNA technology, genome sequencing: Sanger method, Next Generation sequencing, Immunohistochemistry, FISH.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3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3" w:lineRule="auto"/>
        <w:jc w:val="both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3" w:lineRule="auto"/>
        <w:jc w:val="both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3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Инструкции по технологии проведения экзамена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335" w:lineRule="auto"/>
        <w:ind w:left="39" w:firstLine="0"/>
        <w:rPr>
          <w:rFonts w:ascii="Times" w:cs="Times" w:eastAsia="Times" w:hAnsi="Times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Экзамен длится 3 часа.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33" w:lineRule="auto"/>
        <w:ind w:left="10" w:right="100" w:firstLine="1.0000000000000009"/>
        <w:jc w:val="both"/>
        <w:rPr>
          <w:rFonts w:ascii="Times" w:cs="Times" w:eastAsia="Times" w:hAnsi="Times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В указанное время студент заходит на сайт «</w:t>
      </w:r>
      <w:r w:rsidDel="00000000" w:rsidR="00000000" w:rsidRPr="00000000">
        <w:rPr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https://classroom.google.com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». 3. Студент получает доступ. 4. Билеты для каждого студента оформляются автоматически.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8" w:right="157" w:firstLine="11"/>
        <w:jc w:val="both"/>
        <w:rPr>
          <w:rFonts w:ascii="Times" w:cs="Times" w:eastAsia="Times" w:hAnsi="Times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Экзамен начинается с обязательного наблюдателя (нельзя выключать камеру и микрофон): - Вам понадобится ноутбук с веб-камерой или домашний компьютер. В противном случае вы можете использовать камеру вашего смартфона, например, с клиентским приложением DroidCam.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5" w:lineRule="auto"/>
        <w:ind w:left="8" w:right="163" w:firstLine="10"/>
        <w:rPr>
          <w:rFonts w:ascii="Times" w:cs="Times" w:eastAsia="Times" w:hAnsi="Times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Ответ печатается в самой программе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https://classroom.google.com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 Прием рукописного бланка ответа на бумаге НЕ предусмотрен.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16" w:lineRule="auto"/>
        <w:ind w:left="16" w:right="100" w:hanging="1.0000000000000009"/>
        <w:rPr>
          <w:rFonts w:ascii="Times" w:cs="Times" w:eastAsia="Times" w:hAnsi="Times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По окончании экзамена студент нажимает кнопку «Готово».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253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2E">
      <w:pPr>
        <w:ind w:left="720" w:firstLine="0"/>
        <w:rPr>
          <w:rFonts w:ascii="Times New Roman" w:cs="Times New Roman" w:eastAsia="Times New Roman" w:hAnsi="Times New Roman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576" w:lineRule="auto"/>
        <w:ind w:left="3188" w:firstLine="0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highlight w:val="white"/>
          <w:rtl w:val="0"/>
        </w:rPr>
        <w:t xml:space="preserve">Шкала качества ответ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ов</w:t>
      </w:r>
    </w:p>
    <w:tbl>
      <w:tblPr>
        <w:tblStyle w:val="Table1"/>
        <w:tblW w:w="9563.0" w:type="dxa"/>
        <w:jc w:val="left"/>
        <w:tblInd w:w="0.0" w:type="dxa"/>
        <w:tblLayout w:type="fixed"/>
        <w:tblLook w:val="0400"/>
      </w:tblPr>
      <w:tblGrid>
        <w:gridCol w:w="1353"/>
        <w:gridCol w:w="6848"/>
        <w:gridCol w:w="1362"/>
        <w:tblGridChange w:id="0">
          <w:tblGrid>
            <w:gridCol w:w="1353"/>
            <w:gridCol w:w="6848"/>
            <w:gridCol w:w="1362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  <w:rtl w:val="0"/>
              </w:rPr>
              <w:t xml:space="preserve">Оценка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  <w:rtl w:val="0"/>
              </w:rPr>
              <w:t xml:space="preserve">Критерии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  <w:rtl w:val="0"/>
              </w:rPr>
              <w:t xml:space="preserve">Шкала, баллы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ind w:left="31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отлично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ind w:left="27" w:firstLine="2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1. все ключевые аспекты включены и представлены логически; 2. высокая точность (актуальность, без избыточности) и постоянная фокусировка на вопросе;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before="15" w:lineRule="auto"/>
              <w:ind w:left="32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3. отличная интеграция теоретических вопросов;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ind w:left="32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3. предоставление соответствующих примеров;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ind w:left="32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90–100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jc w:val="both"/>
        <w:rPr>
          <w:rFonts w:ascii="Times" w:cs="Times" w:eastAsia="Times" w:hAnsi="Times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Times" w:cs="Times" w:eastAsia="Times" w:hAnsi="Times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2"/>
        <w:tblW w:w="9600.0" w:type="dxa"/>
        <w:jc w:val="left"/>
        <w:tblInd w:w="0.0" w:type="dxa"/>
        <w:tblLayout w:type="fixed"/>
        <w:tblLook w:val="0400"/>
      </w:tblPr>
      <w:tblGrid>
        <w:gridCol w:w="1380"/>
        <w:gridCol w:w="6855"/>
        <w:gridCol w:w="1365"/>
        <w:tblGridChange w:id="0">
          <w:tblGrid>
            <w:gridCol w:w="1380"/>
            <w:gridCol w:w="6855"/>
            <w:gridCol w:w="1365"/>
          </w:tblGrid>
        </w:tblGridChange>
      </w:tblGrid>
      <w:tr>
        <w:trPr>
          <w:cantSplit w:val="0"/>
          <w:trHeight w:val="130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ind w:left="20" w:firstLine="5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4. Углубленный анализ и теоретическое обоснование данной проблемы (если применимо), выявление и интерпретация всех ключевых аспектов;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before="15" w:lineRule="auto"/>
              <w:ind w:left="34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5. свободное владение профессиональной терминологией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 </w:t>
            </w:r>
          </w:p>
        </w:tc>
      </w:tr>
      <w:tr>
        <w:trPr>
          <w:cantSplit w:val="0"/>
          <w:trHeight w:val="291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ind w:left="29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хорошо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ind w:left="27" w:right="15" w:firstLine="2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1. все ключевые аспекты включены и представлены логически; 2. постоянное внимание к вопросу с удовлетворительной точностью, релевантностью и / или некоторой избыточностью;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before="15" w:lineRule="auto"/>
              <w:ind w:left="32" w:right="1648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3. удовлетворительная интеграция теоретических вопросов; 3. отсутствие примеров;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before="21" w:lineRule="auto"/>
              <w:ind w:left="20" w:right="2" w:firstLine="5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4. удовлетворительный анализ и теоретическое обоснование данной проблемы (если применимо), выявление и интерпретация большинства ключевых аспектов;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ind w:left="34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5. правильное использование профессиональной терминологии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ind w:left="31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75 - 89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before="1555" w:lineRule="auto"/>
              <w:ind w:left="44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before="292" w:lineRule="auto"/>
              <w:ind w:left="44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удовл.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1. 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Включено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большинство ключевых аспектов;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ind w:left="27" w:right="12" w:hanging="2.9999999999999982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2. удовлетворительное внимание к вопросу - некоторые упущения уместности и / или заметная избыточность;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ind w:left="20" w:firstLine="12.000000000000002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3. Теоретические вопросы представлены без заметной интеграции; 3. Предоставление неудачных примеров или их отсутствие; 4. некоторый анализ и теоретическое обоснование данной проблемы (если применимо), выявление и интерпретация большинства ключевых аспектов;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ind w:left="34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5. правильное использование профессиональной терминологии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ind w:left="34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50 - 70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before="1540" w:lineRule="auto"/>
              <w:ind w:left="5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before="292" w:lineRule="auto"/>
              <w:ind w:left="44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ind w:left="22" w:right="6" w:hanging="1.0000000000000009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неудовлетворительно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ind w:left="54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1. упущено большинство ключевых моментов;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ind w:left="23" w:right="8" w:firstLine="2.9999999999999982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2. Отсутствие внимания к вопросу - отсутствие актуальности и заметная избыточность;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ind w:left="32" w:right="1375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3. некоторые теоретические вопросы представлены так или иначе; 3. нет или не относящиеся к делу примеры;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ind w:left="20" w:firstLine="5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4. некоторый анализ и теоретическое обоснование данной проблемы (если применимо), большинство ключевых аспектов упущены; 5. упущения в использовании профессиональной терминологии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ind w:left="27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25–49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before="1540" w:lineRule="auto"/>
              <w:ind w:left="49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ind w:left="32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не удалось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ind w:left="54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1. упущено большинство или все ключевые аспекты;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ind w:left="26" w:right="1585" w:hanging="6.000000000000001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2. отсутствие акцента на вопросе, несущественная информация; 3. пропущенные или поверхностные теоретические вопросы;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before="21" w:lineRule="auto"/>
              <w:ind w:left="32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3. нет или не относящиеся к делу примеры;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left="20" w:right="5" w:firstLine="5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4. отсутствие анализа и теоретического обоснования данной проблемы (если применимо), упущено большинство ключевых аспектов; 5. упущения в использовании профессиональной терминологии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ind w:left="31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0-24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rPr>
          <w:rFonts w:ascii="Times" w:cs="Times" w:eastAsia="Times" w:hAnsi="Times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Times" w:cs="Times" w:eastAsia="Times" w:hAnsi="Times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right="3724"/>
        <w:jc w:val="right"/>
        <w:rPr>
          <w:rFonts w:ascii="Times" w:cs="Times" w:eastAsia="Times" w:hAnsi="Times"/>
          <w:b w:val="1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Система оценок</w:t>
      </w:r>
      <w:r w:rsidDel="00000000" w:rsidR="00000000" w:rsidRPr="00000000">
        <w:rPr>
          <w:rtl w:val="0"/>
        </w:rPr>
      </w:r>
    </w:p>
    <w:tbl>
      <w:tblPr>
        <w:tblStyle w:val="Table3"/>
        <w:tblW w:w="9487.0" w:type="dxa"/>
        <w:jc w:val="left"/>
        <w:tblInd w:w="10.0" w:type="dxa"/>
        <w:tblLayout w:type="fixed"/>
        <w:tblLook w:val="0400"/>
      </w:tblPr>
      <w:tblGrid>
        <w:gridCol w:w="1868"/>
        <w:gridCol w:w="3059"/>
        <w:gridCol w:w="1783"/>
        <w:gridCol w:w="2777"/>
        <w:tblGridChange w:id="0">
          <w:tblGrid>
            <w:gridCol w:w="1868"/>
            <w:gridCol w:w="3059"/>
            <w:gridCol w:w="1783"/>
            <w:gridCol w:w="2777"/>
          </w:tblGrid>
        </w:tblGridChange>
      </w:tblGrid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Буквенная оценка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  <w:rtl w:val="0"/>
              </w:rPr>
              <w:t xml:space="preserve">Цифровой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before="3" w:lineRule="auto"/>
              <w:ind w:right="186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  <w:rtl w:val="0"/>
              </w:rPr>
              <w:t xml:space="preserve">эквивалент оценки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  <w:rtl w:val="0"/>
              </w:rPr>
              <w:t xml:space="preserve">% содержание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  <w:rtl w:val="0"/>
              </w:rPr>
              <w:t xml:space="preserve">Традиционная системная оценка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, 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95–100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отлично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rPr>
          <w:rFonts w:ascii="Times" w:cs="Times" w:eastAsia="Times" w:hAnsi="Time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95.0" w:type="dxa"/>
        <w:jc w:val="left"/>
        <w:tblInd w:w="10.0" w:type="dxa"/>
        <w:tblLayout w:type="fixed"/>
        <w:tblLook w:val="0400"/>
      </w:tblPr>
      <w:tblGrid>
        <w:gridCol w:w="1875"/>
        <w:gridCol w:w="3075"/>
        <w:gridCol w:w="1770"/>
        <w:gridCol w:w="2775"/>
        <w:tblGridChange w:id="0">
          <w:tblGrid>
            <w:gridCol w:w="1875"/>
            <w:gridCol w:w="3075"/>
            <w:gridCol w:w="1770"/>
            <w:gridCol w:w="2775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3,67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90-94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 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В 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3,33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85-89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хорошо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3,0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80-84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, 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75-79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С 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, 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70-74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удовлетворительно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, 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65–69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С-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1,67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60–64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1,33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55-59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ind w:right="768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          1,0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50-54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F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5-49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неудовлетворительно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before="334" w:lineRule="auto"/>
              <w:ind w:left="330" w:right="28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«Дисциплина не завершена»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highlight w:val="white"/>
                <w:rtl w:val="0"/>
              </w:rPr>
              <w:t xml:space="preserve">(не принимается во внимание при подсчете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highlight w:val="white"/>
                <w:rtl w:val="0"/>
              </w:rPr>
              <w:t xml:space="preserve">GPA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highlight w:val="whit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0-24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(Incomplete)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(Pass)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«Зачтено»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ind w:left="370" w:right="314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highlight w:val="white"/>
                <w:rtl w:val="0"/>
              </w:rPr>
              <w:t xml:space="preserve">(не учитывается при подсчете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highlight w:val="white"/>
                <w:rtl w:val="0"/>
              </w:rPr>
              <w:t xml:space="preserve">GPA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highlight w:val="whit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before="3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(No Pass)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Не зачтено»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before="3" w:lineRule="auto"/>
              <w:ind w:left="370" w:right="314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highlight w:val="white"/>
                <w:rtl w:val="0"/>
              </w:rPr>
              <w:t xml:space="preserve">(не учитывается при подсчете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highlight w:val="white"/>
                <w:rtl w:val="0"/>
              </w:rPr>
              <w:t xml:space="preserve">GPA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highlight w:val="whit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ind w:right="738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(Withdrawal)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«Отказ от дисциплины»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ind w:left="370" w:right="314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highlight w:val="white"/>
                <w:rtl w:val="0"/>
              </w:rPr>
              <w:t xml:space="preserve">(не учитывается при подсчете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highlight w:val="white"/>
                <w:rtl w:val="0"/>
              </w:rPr>
              <w:t xml:space="preserve">GPA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highlight w:val="whit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before="3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(Academic withdrawal)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ind w:left="370" w:right="314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Отказ по академическим причинам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highlight w:val="white"/>
                <w:rtl w:val="0"/>
              </w:rPr>
              <w:t xml:space="preserve">(не учитывается при подсчете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highlight w:val="white"/>
                <w:rtl w:val="0"/>
              </w:rPr>
              <w:t xml:space="preserve">GPA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highlight w:val="whit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ind w:right="678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AU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(Аудит)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«Дисциплина прослушана»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ind w:left="370" w:right="314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highlight w:val="white"/>
                <w:rtl w:val="0"/>
              </w:rPr>
              <w:t xml:space="preserve">(не учитывается при при подсчете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highlight w:val="white"/>
                <w:rtl w:val="0"/>
              </w:rPr>
              <w:t xml:space="preserve">GPA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highlight w:val="whit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Атт.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30-60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before="3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50–100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Аттестован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Не атт.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0–29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before="3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0–49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Не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аттестован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R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(Пересдача)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Повторное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изучение дисциплины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rPr>
          <w:rFonts w:ascii="Times" w:cs="Times" w:eastAsia="Times" w:hAnsi="Times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jc w:val="center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Основная литература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Human Genetics, Ricki Lewis. 2018</w:t>
      </w:r>
    </w:p>
    <w:p w:rsidR="00000000" w:rsidDel="00000000" w:rsidP="00000000" w:rsidRDefault="00000000" w:rsidRPr="00000000" w14:paraId="000000CA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Medical Genetics at a Glance, Dorian J.Pritchard, Bruce R.Korf. 2013</w:t>
      </w:r>
    </w:p>
    <w:p w:rsidR="00000000" w:rsidDel="00000000" w:rsidP="00000000" w:rsidRDefault="00000000" w:rsidRPr="00000000" w14:paraId="000000CB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Basic pathology, Robbins and Cotran Pathologic Basis of Disease [Electronic resource]: textbook / ed.: V. Kumar, A. Abbas, J. Aster. - Philadelphia : Elsevier Saunders, 2015. - 1392 p. - ISBN 978-1-4557-2613-4 : 0.00</w:t>
      </w:r>
    </w:p>
    <w:p w:rsidR="00000000" w:rsidDel="00000000" w:rsidP="00000000" w:rsidRDefault="00000000" w:rsidRPr="00000000" w14:paraId="000000CC">
      <w:pPr>
        <w:ind w:left="425" w:firstLine="0"/>
        <w:jc w:val="both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Дополнительная 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numPr>
          <w:ilvl w:val="0"/>
          <w:numId w:val="3"/>
        </w:numPr>
        <w:ind w:left="720" w:right="173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Zhanna Mussazhanova et al.  The Contribution of Genetic Variants to the Risk of Papillary Thyroid Carcinoma in the Kazakh Population: Study of Common Single Nucleotide Polymorphisms and Their Clinicopathological Correlations. Front Endocrinol 2021 doi: 10.3389/fendo.2020.543500.</w:t>
      </w:r>
    </w:p>
    <w:p w:rsidR="00000000" w:rsidDel="00000000" w:rsidP="00000000" w:rsidRDefault="00000000" w:rsidRPr="00000000" w14:paraId="000000D0">
      <w:pPr>
        <w:numPr>
          <w:ilvl w:val="0"/>
          <w:numId w:val="3"/>
        </w:numPr>
        <w:ind w:left="720" w:right="173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Zhanna Mussazhanova, et al. Immunohistochemical and Molecular Analyses Focusing on Mesenchymal Cells in Papillary Thyroid Carcinoma with Desmoid-Type Fibromatosis. Pathobiology. 2018. DOI: 10.1159/000492117</w:t>
      </w:r>
    </w:p>
    <w:p w:rsidR="00000000" w:rsidDel="00000000" w:rsidP="00000000" w:rsidRDefault="00000000" w:rsidRPr="00000000" w14:paraId="000000D1">
      <w:pPr>
        <w:numPr>
          <w:ilvl w:val="0"/>
          <w:numId w:val="3"/>
        </w:numPr>
        <w:ind w:left="720" w:right="173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Maria Romano et al. A Structural View of SARS-CoV-2 RNA Replication Machinery: RNA Synthesis, Proofreading and Final Capping. Cell. 2020. doi:10.3390/cells9051267</w:t>
      </w:r>
    </w:p>
    <w:p w:rsidR="00000000" w:rsidDel="00000000" w:rsidP="00000000" w:rsidRDefault="00000000" w:rsidRPr="00000000" w14:paraId="000000D2">
      <w:pPr>
        <w:numPr>
          <w:ilvl w:val="0"/>
          <w:numId w:val="3"/>
        </w:numPr>
        <w:ind w:left="720" w:right="173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Adriaan H. de Wilde et al. Host Factors in Coronavirus Replication. Microbiology and Immunology. 2018. DOI 10.1007/82_2017_25</w:t>
      </w:r>
    </w:p>
    <w:p w:rsidR="00000000" w:rsidDel="00000000" w:rsidP="00000000" w:rsidRDefault="00000000" w:rsidRPr="00000000" w14:paraId="000000D3">
      <w:pPr>
        <w:numPr>
          <w:ilvl w:val="0"/>
          <w:numId w:val="3"/>
        </w:numPr>
        <w:ind w:left="720" w:right="173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Zhanna Mussazhanova, et al.  Association between p53-binding protein 1 expression and genomic instability in oncocytic follicular adenoma of the thyroid. Endocr J. 2016 doi: 10.1507/endocrj.EJ15-0629.</w:t>
      </w:r>
    </w:p>
    <w:p w:rsidR="00000000" w:rsidDel="00000000" w:rsidP="00000000" w:rsidRDefault="00000000" w:rsidRPr="00000000" w14:paraId="000000D4">
      <w:pPr>
        <w:numPr>
          <w:ilvl w:val="0"/>
          <w:numId w:val="3"/>
        </w:numPr>
        <w:ind w:left="720" w:right="173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Zhanna Mussazhanova, et al. A Novel Diagnostic Method for Thyroid Follicular Tumors Based on Immunofluorescence Analysis of p53-Binding Protein 1 Expression: Detection of Genomic Instability. Thyroid. 2019. doi: 10.1089/thy.2018.0548.</w:t>
      </w:r>
    </w:p>
    <w:p w:rsidR="00000000" w:rsidDel="00000000" w:rsidP="00000000" w:rsidRDefault="00000000" w:rsidRPr="00000000" w14:paraId="000000D5">
      <w:pPr>
        <w:numPr>
          <w:ilvl w:val="0"/>
          <w:numId w:val="3"/>
        </w:numPr>
        <w:ind w:left="720" w:right="173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Zhanna Mussazhanova et al. Causative role for defective expression of mitochondria-eating protein in accumulation of mitochondria in thyroid oncocytic cell tumors. Cancer Sci. 2020. doi:10.1111/cas.14501.</w:t>
      </w:r>
    </w:p>
    <w:p w:rsidR="00000000" w:rsidDel="00000000" w:rsidP="00000000" w:rsidRDefault="00000000" w:rsidRPr="00000000" w14:paraId="000000D6">
      <w:pPr>
        <w:numPr>
          <w:ilvl w:val="0"/>
          <w:numId w:val="3"/>
        </w:numPr>
        <w:ind w:left="720" w:right="173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Cornelia C. Bergmann, COVID-19: Coronavirus replication, pathogenesis, and therapeutic strategies. 2020. doi:10.3949/ccjm.87a.20047</w:t>
      </w:r>
    </w:p>
    <w:p w:rsidR="00000000" w:rsidDel="00000000" w:rsidP="00000000" w:rsidRDefault="00000000" w:rsidRPr="00000000" w14:paraId="000000D7">
      <w:pPr>
        <w:numPr>
          <w:ilvl w:val="0"/>
          <w:numId w:val="3"/>
        </w:numPr>
        <w:ind w:left="720" w:right="173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Yan-Rong Guo et al. The origin, transmission and clinical therapies on coronavirus disease 2019 (COVID-19) outbreak – an update on the status. Military Medical Research 2020, https://doi.org/10.1186/s40779-020-00240-0</w:t>
      </w:r>
    </w:p>
    <w:p w:rsidR="00000000" w:rsidDel="00000000" w:rsidP="00000000" w:rsidRDefault="00000000" w:rsidRPr="00000000" w14:paraId="000000D8">
      <w:pPr>
        <w:numPr>
          <w:ilvl w:val="0"/>
          <w:numId w:val="3"/>
        </w:numPr>
        <w:ind w:left="720" w:right="173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Adriaan H. et al. Host Factors in Coronavirus Replication. Microbiology and Immunology, 2018, DOI 10.1007/82_2017_25</w:t>
      </w:r>
    </w:p>
    <w:p w:rsidR="00000000" w:rsidDel="00000000" w:rsidP="00000000" w:rsidRDefault="00000000" w:rsidRPr="00000000" w14:paraId="000000D9">
      <w:pPr>
        <w:numPr>
          <w:ilvl w:val="0"/>
          <w:numId w:val="3"/>
        </w:numPr>
        <w:ind w:left="720" w:right="173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Gupta and Mania-Pramanik, Molecular mechanisms in progression of HPV-associated cervical carcinogenesis. Journal of Biomedical Science.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2019,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8"/>
            <w:szCs w:val="28"/>
            <w:u w:val="single"/>
            <w:rtl w:val="0"/>
          </w:rPr>
          <w:t xml:space="preserve">https://doi.org/10.1186/s12929-019-0520-2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numPr>
          <w:ilvl w:val="0"/>
          <w:numId w:val="3"/>
        </w:numPr>
        <w:ind w:left="720" w:right="173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Min Lin et al. Recent Advances on the Molecular Mechanism of Cervical Carcinogenesi. 2019.https://doi.org/10.1016/j.csbj.2019.02.001</w:t>
      </w:r>
    </w:p>
    <w:p w:rsidR="00000000" w:rsidDel="00000000" w:rsidP="00000000" w:rsidRDefault="00000000" w:rsidRPr="00000000" w14:paraId="000000DB">
      <w:pPr>
        <w:numPr>
          <w:ilvl w:val="0"/>
          <w:numId w:val="3"/>
        </w:numPr>
        <w:ind w:left="720" w:right="173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Ryota Otsubo et al.  A Novel Diagnostic Method for Thyroid Follicular Tumors Based on Immunofluorescence Analysis of p53-Binding Protein 1 expression: Detection of genomic instability. THYROID. 2019, DOI: 10.1089/thy.2018.0548</w:t>
      </w:r>
    </w:p>
    <w:p w:rsidR="00000000" w:rsidDel="00000000" w:rsidP="00000000" w:rsidRDefault="00000000" w:rsidRPr="00000000" w14:paraId="000000DC">
      <w:pPr>
        <w:ind w:right="173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Time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msonormal0" w:customStyle="1">
    <w:name w:val="msonormal"/>
    <w:basedOn w:val="a"/>
    <w:rsid w:val="0090485E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ru-RU"/>
    </w:rPr>
  </w:style>
  <w:style w:type="paragraph" w:styleId="a4">
    <w:name w:val="Normal (Web)"/>
    <w:basedOn w:val="a"/>
    <w:uiPriority w:val="99"/>
    <w:semiHidden w:val="1"/>
    <w:unhideWhenUsed w:val="1"/>
    <w:rsid w:val="0090485E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ru-RU"/>
    </w:rPr>
  </w:style>
  <w:style w:type="character" w:styleId="a5">
    <w:name w:val="Hyperlink"/>
    <w:basedOn w:val="a0"/>
    <w:uiPriority w:val="99"/>
    <w:unhideWhenUsed w:val="1"/>
    <w:rsid w:val="0090485E"/>
    <w:rPr>
      <w:color w:val="0000ff"/>
      <w:u w:val="single"/>
    </w:rPr>
  </w:style>
  <w:style w:type="character" w:styleId="a6">
    <w:name w:val="FollowedHyperlink"/>
    <w:basedOn w:val="a0"/>
    <w:uiPriority w:val="99"/>
    <w:semiHidden w:val="1"/>
    <w:unhideWhenUsed w:val="1"/>
    <w:rsid w:val="0090485E"/>
    <w:rPr>
      <w:color w:val="800080"/>
      <w:u w:val="single"/>
    </w:rPr>
  </w:style>
  <w:style w:type="paragraph" w:styleId="a7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8" w:customStyle="1">
    <w:basedOn w:val="TableNormal"/>
    <w:tblPr>
      <w:tblStyleRowBandSize w:val="1"/>
      <w:tblStyleColBandSize w:val="1"/>
    </w:tblPr>
  </w:style>
  <w:style w:type="table" w:styleId="a9" w:customStyle="1">
    <w:basedOn w:val="TableNormal"/>
    <w:tblPr>
      <w:tblStyleRowBandSize w:val="1"/>
      <w:tblStyleColBandSize w:val="1"/>
    </w:tblPr>
  </w:style>
  <w:style w:type="table" w:styleId="aa" w:customStyle="1">
    <w:basedOn w:val="TableNormal"/>
    <w:tblPr>
      <w:tblStyleRowBandSize w:val="1"/>
      <w:tblStyleColBandSize w:val="1"/>
    </w:tblPr>
  </w:style>
  <w:style w:type="table" w:styleId="ab" w:customStyle="1">
    <w:basedOn w:val="TableNormal"/>
    <w:tblPr>
      <w:tblStyleRowBandSize w:val="1"/>
      <w:tblStyleColBandSize w:val="1"/>
    </w:tblPr>
  </w:style>
  <w:style w:type="paragraph" w:styleId="ac">
    <w:name w:val="List Paragraph"/>
    <w:basedOn w:val="a"/>
    <w:uiPriority w:val="34"/>
    <w:qFormat w:val="1"/>
    <w:rsid w:val="0099030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doi.org/10.1186/s12929-019-0520-2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lassroom.google.com" TargetMode="External"/><Relationship Id="rId8" Type="http://schemas.openxmlformats.org/officeDocument/2006/relationships/hyperlink" Target="https://classroom.googl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Lu6wriIoDga9X942YlwDp1F9Qg==">AMUW2mXg22rud0Q26tP3pQ7Y+lrjUOg8k3XWo04lxFCBsj25nLKeB7Ml/dJN4qMl/Qik7U2tFtR0lwFhjHutksqAhkobIkyjqjYp4QfvrNhKds1JgKPfLy4=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2021-11-15T08:06:00Z</dcterms:created>
  <dc:creator>ersajynm@mail.ru</dc:creator>
</cp:coreProperties>
</file>